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DF" w:rsidRDefault="00FD0788">
      <w:pPr>
        <w:pStyle w:val="Standard"/>
        <w:ind w:left="17"/>
        <w:rPr>
          <w:rFonts w:ascii="Calibri" w:hAnsi="Calibri"/>
          <w:b/>
          <w:bCs/>
          <w:sz w:val="26"/>
          <w:szCs w:val="26"/>
          <w:lang w:val="en-US"/>
        </w:rPr>
      </w:pPr>
      <w:r>
        <w:rPr>
          <w:rFonts w:ascii="Calibri" w:hAnsi="Calibri"/>
          <w:b/>
          <w:bCs/>
          <w:sz w:val="26"/>
          <w:szCs w:val="26"/>
          <w:lang w:val="en-US"/>
        </w:rPr>
        <w:t>COMPARISON AMONG 4 IMMOBILIZATION DEVICES FOR WHOLE BREAST IRRADIATION WITH HELICAL TOMOTHERAPY</w:t>
      </w:r>
    </w:p>
    <w:p w:rsidR="00D833DF" w:rsidRDefault="00D833DF">
      <w:pPr>
        <w:pStyle w:val="Standard"/>
        <w:ind w:left="17"/>
        <w:rPr>
          <w:rFonts w:ascii="Calibri" w:hAnsi="Calibri"/>
          <w:b/>
          <w:bCs/>
          <w:sz w:val="26"/>
          <w:szCs w:val="26"/>
          <w:lang w:val="en-US"/>
        </w:rPr>
      </w:pPr>
    </w:p>
    <w:p w:rsidR="00D833DF" w:rsidRPr="00F55496" w:rsidRDefault="00FD0788">
      <w:pPr>
        <w:jc w:val="both"/>
        <w:rPr>
          <w:lang w:val="en-US"/>
        </w:rPr>
      </w:pPr>
      <w:bookmarkStart w:id="0" w:name="_GoBack"/>
      <w:bookmarkEnd w:id="0"/>
      <w:r>
        <w:rPr>
          <w:rFonts w:ascii="Calibri" w:hAnsi="Calibri"/>
          <w:b/>
          <w:bCs/>
          <w:lang w:val="en-US"/>
        </w:rPr>
        <w:t xml:space="preserve">Background and purpose: </w:t>
      </w:r>
      <w:proofErr w:type="spellStart"/>
      <w:r>
        <w:rPr>
          <w:rFonts w:ascii="Calibri" w:hAnsi="Calibri"/>
          <w:bCs/>
          <w:lang w:val="en-US"/>
        </w:rPr>
        <w:t>T</w:t>
      </w:r>
      <w:r>
        <w:rPr>
          <w:rFonts w:ascii="Calibri" w:hAnsi="Calibri"/>
          <w:lang w:val="en-US"/>
        </w:rPr>
        <w:t>omotherapy</w:t>
      </w:r>
      <w:proofErr w:type="spellEnd"/>
      <w:r>
        <w:rPr>
          <w:rFonts w:ascii="Calibri" w:hAnsi="Calibri"/>
          <w:lang w:val="en-US"/>
        </w:rPr>
        <w:t xml:space="preserve"> improves treatment results of conformal </w:t>
      </w:r>
      <w:r>
        <w:rPr>
          <w:rFonts w:ascii="Calibri" w:hAnsi="Calibri"/>
          <w:lang w:val="en-US"/>
        </w:rPr>
        <w:t xml:space="preserve">radiotherapy in the treatment of whole breast thanks to a higher homogeneity and a better dose </w:t>
      </w:r>
      <w:proofErr w:type="spellStart"/>
      <w:r>
        <w:rPr>
          <w:rFonts w:ascii="Calibri" w:hAnsi="Calibri"/>
          <w:lang w:val="en-US"/>
        </w:rPr>
        <w:t>conformality</w:t>
      </w:r>
      <w:proofErr w:type="spellEnd"/>
      <w:r>
        <w:rPr>
          <w:rFonts w:ascii="Calibri" w:hAnsi="Calibri"/>
          <w:lang w:val="en-US"/>
        </w:rPr>
        <w:t>. However, to be safely delivered, highly conformal dose distributions necessitate patient immobilization with reliable and accurate device. The goal</w:t>
      </w:r>
      <w:r>
        <w:rPr>
          <w:rFonts w:ascii="Calibri" w:hAnsi="Calibri"/>
          <w:lang w:val="en-US"/>
        </w:rPr>
        <w:t xml:space="preserve"> of this study was to evaluate the repositioning accuracy of 4 immobilization devices (ID): arm float with </w:t>
      </w:r>
      <w:proofErr w:type="spellStart"/>
      <w:r>
        <w:rPr>
          <w:rFonts w:ascii="Calibri" w:hAnsi="Calibri"/>
          <w:lang w:val="en-US"/>
        </w:rPr>
        <w:t>VacFix</w:t>
      </w:r>
      <w:proofErr w:type="spellEnd"/>
      <w:r>
        <w:rPr>
          <w:rFonts w:ascii="Calibri" w:hAnsi="Calibri"/>
          <w:lang w:val="en-US"/>
        </w:rPr>
        <w:t xml:space="preserve"> (Par Scientific, Denmark), all-in-one (AIO) system (</w:t>
      </w:r>
      <w:proofErr w:type="spellStart"/>
      <w:r>
        <w:rPr>
          <w:rFonts w:ascii="Calibri" w:hAnsi="Calibri"/>
          <w:lang w:val="en-US"/>
        </w:rPr>
        <w:t>Orfit</w:t>
      </w:r>
      <w:proofErr w:type="spellEnd"/>
      <w:r>
        <w:rPr>
          <w:rFonts w:ascii="Calibri" w:hAnsi="Calibri"/>
          <w:lang w:val="en-US"/>
        </w:rPr>
        <w:t xml:space="preserve">, Belgium), </w:t>
      </w:r>
      <w:proofErr w:type="spellStart"/>
      <w:proofErr w:type="gramStart"/>
      <w:r>
        <w:rPr>
          <w:rFonts w:ascii="Calibri" w:hAnsi="Calibri"/>
          <w:lang w:val="en-US"/>
        </w:rPr>
        <w:t>MacroCast</w:t>
      </w:r>
      <w:proofErr w:type="spellEnd"/>
      <w:proofErr w:type="gramEnd"/>
      <w:r>
        <w:rPr>
          <w:rFonts w:ascii="Calibri" w:hAnsi="Calibri"/>
          <w:lang w:val="en-US"/>
        </w:rPr>
        <w:t xml:space="preserve"> thermoplastic (</w:t>
      </w:r>
      <w:proofErr w:type="spellStart"/>
      <w:r>
        <w:rPr>
          <w:rFonts w:ascii="Calibri" w:hAnsi="Calibri"/>
          <w:lang w:val="en-US"/>
        </w:rPr>
        <w:t>Macromedics</w:t>
      </w:r>
      <w:proofErr w:type="spellEnd"/>
      <w:r>
        <w:rPr>
          <w:rFonts w:ascii="Calibri" w:hAnsi="Calibri"/>
          <w:lang w:val="en-US"/>
        </w:rPr>
        <w:t xml:space="preserve">, Nederland) and </w:t>
      </w:r>
      <w:proofErr w:type="spellStart"/>
      <w:r>
        <w:rPr>
          <w:rFonts w:ascii="Calibri" w:hAnsi="Calibri"/>
          <w:lang w:val="en-US"/>
        </w:rPr>
        <w:t>blueBAG</w:t>
      </w:r>
      <w:proofErr w:type="spellEnd"/>
      <w:r>
        <w:rPr>
          <w:rFonts w:ascii="Calibri" w:hAnsi="Calibri"/>
          <w:lang w:val="en-US"/>
        </w:rPr>
        <w:t xml:space="preserve"> system with </w:t>
      </w:r>
      <w:r>
        <w:rPr>
          <w:rFonts w:ascii="Calibri" w:hAnsi="Calibri"/>
          <w:lang w:val="en-US"/>
        </w:rPr>
        <w:t>Arm-Shuttle (</w:t>
      </w:r>
      <w:proofErr w:type="spellStart"/>
      <w:r>
        <w:rPr>
          <w:rFonts w:ascii="Calibri" w:hAnsi="Calibri"/>
          <w:lang w:val="en-US"/>
        </w:rPr>
        <w:t>Elekta</w:t>
      </w:r>
      <w:proofErr w:type="spellEnd"/>
      <w:r>
        <w:rPr>
          <w:rFonts w:ascii="Calibri" w:hAnsi="Calibri"/>
          <w:lang w:val="en-US"/>
        </w:rPr>
        <w:t>, Sweden). Investigations were performed by analyzing pre-treatment MVCT images and examining translations and rotations obtained in all directions for different selected regions of interest (ROIs) for registration. The multiple ROIs reg</w:t>
      </w:r>
      <w:r>
        <w:rPr>
          <w:rFonts w:ascii="Calibri" w:hAnsi="Calibri"/>
          <w:lang w:val="en-US"/>
        </w:rPr>
        <w:t xml:space="preserve">istration method helped establishing which of the ID enabled local deformations to be minimized. Setup margins were finally calculated and compared in function of the selected IDs and ROIs. </w:t>
      </w:r>
    </w:p>
    <w:p w:rsidR="00D833DF" w:rsidRDefault="00D833DF">
      <w:pPr>
        <w:pStyle w:val="Standard"/>
        <w:jc w:val="both"/>
        <w:rPr>
          <w:rFonts w:ascii="Calibri" w:hAnsi="Calibri"/>
          <w:lang w:val="en-US"/>
        </w:rPr>
      </w:pPr>
    </w:p>
    <w:p w:rsidR="00D833DF" w:rsidRPr="00F55496" w:rsidRDefault="00FD0788">
      <w:pPr>
        <w:pStyle w:val="Standard"/>
        <w:jc w:val="both"/>
        <w:rPr>
          <w:lang w:val="en-US"/>
        </w:rPr>
      </w:pPr>
      <w:r>
        <w:rPr>
          <w:rFonts w:ascii="Calibri" w:hAnsi="Calibri"/>
          <w:b/>
          <w:bCs/>
          <w:lang w:val="en-US"/>
        </w:rPr>
        <w:t xml:space="preserve">Materials and methods: </w:t>
      </w:r>
      <w:r>
        <w:rPr>
          <w:rFonts w:ascii="Calibri" w:hAnsi="Calibri"/>
          <w:lang w:val="en-US"/>
        </w:rPr>
        <w:t>Twenty three women with breast cancer wit</w:t>
      </w:r>
      <w:r>
        <w:rPr>
          <w:rFonts w:ascii="Calibri" w:hAnsi="Calibri"/>
          <w:lang w:val="en-US"/>
        </w:rPr>
        <w:t xml:space="preserve">h PTV including the breast/chest wall, internal mammary chain (IMC), supraclavicular and axillary lymph nodes were involved in this study. IDs </w:t>
      </w:r>
      <w:proofErr w:type="gramStart"/>
      <w:r>
        <w:rPr>
          <w:rFonts w:ascii="Calibri" w:hAnsi="Calibri"/>
          <w:lang w:val="en-US"/>
        </w:rPr>
        <w:t>were</w:t>
      </w:r>
      <w:proofErr w:type="gramEnd"/>
      <w:r>
        <w:rPr>
          <w:rFonts w:ascii="Calibri" w:hAnsi="Calibri"/>
          <w:lang w:val="en-US"/>
        </w:rPr>
        <w:t xml:space="preserve"> randomly attributed: 6 women were included in each group except for the </w:t>
      </w:r>
      <w:proofErr w:type="spellStart"/>
      <w:r>
        <w:rPr>
          <w:rFonts w:ascii="Calibri" w:hAnsi="Calibri"/>
          <w:lang w:val="en-US"/>
        </w:rPr>
        <w:t>blueBAG</w:t>
      </w:r>
      <w:proofErr w:type="spellEnd"/>
      <w:r>
        <w:rPr>
          <w:rFonts w:ascii="Calibri" w:hAnsi="Calibri"/>
          <w:lang w:val="en-US"/>
        </w:rPr>
        <w:t xml:space="preserve"> group where 5 patients were </w:t>
      </w:r>
      <w:r>
        <w:rPr>
          <w:rFonts w:ascii="Calibri" w:hAnsi="Calibri"/>
          <w:lang w:val="en-US"/>
        </w:rPr>
        <w:t>included. Pretreatment registration results were first collected on the basis of a reference automatic bone-registration. Registrations on the basis of representative ROIs of the above mentioned PTVs were subsequently performed by a skilled technologist. E</w:t>
      </w:r>
      <w:r>
        <w:rPr>
          <w:rFonts w:ascii="Calibri" w:hAnsi="Calibri"/>
          <w:lang w:val="en-US"/>
        </w:rPr>
        <w:t xml:space="preserve">ach ROI was alternatively considered as the reference ROI for registration and relative shifts were calculated for other ROIs by subtraction of each shift obtained with each ROI along the 3 axis. Margins resulting from setup uncertainty alone were finally </w:t>
      </w:r>
      <w:r>
        <w:rPr>
          <w:rFonts w:ascii="Calibri" w:hAnsi="Calibri"/>
          <w:lang w:val="en-US"/>
        </w:rPr>
        <w:t xml:space="preserve">estimated from the systematic and random variations according to van </w:t>
      </w:r>
      <w:proofErr w:type="spellStart"/>
      <w:r>
        <w:rPr>
          <w:rFonts w:ascii="Calibri" w:hAnsi="Calibri"/>
          <w:lang w:val="en-US"/>
        </w:rPr>
        <w:t>Herk</w:t>
      </w:r>
      <w:proofErr w:type="spellEnd"/>
      <w:r>
        <w:rPr>
          <w:rFonts w:ascii="Calibri" w:hAnsi="Calibri"/>
          <w:lang w:val="en-US"/>
        </w:rPr>
        <w:t xml:space="preserve"> margin equation [1].</w:t>
      </w:r>
    </w:p>
    <w:p w:rsidR="00D833DF" w:rsidRDefault="00D833DF">
      <w:pPr>
        <w:pStyle w:val="Standard"/>
        <w:jc w:val="both"/>
        <w:rPr>
          <w:rFonts w:ascii="Calibri" w:hAnsi="Calibri"/>
          <w:lang w:val="en-US"/>
        </w:rPr>
      </w:pPr>
    </w:p>
    <w:p w:rsidR="00D833DF" w:rsidRPr="00F55496" w:rsidRDefault="00FD0788">
      <w:pPr>
        <w:pStyle w:val="Standard"/>
        <w:jc w:val="both"/>
        <w:rPr>
          <w:lang w:val="en-US"/>
        </w:rPr>
      </w:pPr>
      <w:r>
        <w:rPr>
          <w:rFonts w:ascii="Calibri" w:hAnsi="Calibri"/>
          <w:b/>
          <w:lang w:val="en-US"/>
        </w:rPr>
        <w:t>Results</w:t>
      </w:r>
      <w:r>
        <w:rPr>
          <w:rFonts w:ascii="Calibri" w:hAnsi="Calibri"/>
          <w:lang w:val="en-US"/>
        </w:rPr>
        <w:t xml:space="preserve">: On the basis of the reference ROI, calculated margins were significantly lower for the </w:t>
      </w:r>
      <w:proofErr w:type="spellStart"/>
      <w:r>
        <w:rPr>
          <w:rFonts w:ascii="Calibri" w:hAnsi="Calibri"/>
          <w:lang w:val="en-US"/>
        </w:rPr>
        <w:t>blueBAG</w:t>
      </w:r>
      <w:proofErr w:type="spellEnd"/>
      <w:r>
        <w:rPr>
          <w:rFonts w:ascii="Calibri" w:hAnsi="Calibri"/>
          <w:lang w:val="en-US"/>
        </w:rPr>
        <w:t xml:space="preserve"> system (Table 1).  Registration on axillary nodes showed</w:t>
      </w:r>
      <w:r>
        <w:rPr>
          <w:rFonts w:ascii="Calibri" w:hAnsi="Calibri"/>
          <w:lang w:val="en-US"/>
        </w:rPr>
        <w:t xml:space="preserve"> less deviation compared to other ROIs. Margins were then recalculated for all ROIs relative to axillary nodes registration. For the </w:t>
      </w:r>
      <w:proofErr w:type="spellStart"/>
      <w:r>
        <w:rPr>
          <w:rFonts w:ascii="Calibri" w:hAnsi="Calibri"/>
          <w:lang w:val="en-US"/>
        </w:rPr>
        <w:t>blueBAG</w:t>
      </w:r>
      <w:proofErr w:type="spellEnd"/>
      <w:r>
        <w:rPr>
          <w:rFonts w:ascii="Calibri" w:hAnsi="Calibri"/>
          <w:lang w:val="en-US"/>
        </w:rPr>
        <w:t xml:space="preserve"> device margins range from 0.13 mm (cranial-caudal direction) for the supraclavicular nodes to 7 mm (anterior-poster</w:t>
      </w:r>
      <w:r>
        <w:rPr>
          <w:rFonts w:ascii="Calibri" w:hAnsi="Calibri"/>
          <w:lang w:val="en-US"/>
        </w:rPr>
        <w:t xml:space="preserve">ior direction) for the breast/chest wall. </w:t>
      </w:r>
    </w:p>
    <w:p w:rsidR="00D833DF" w:rsidRDefault="00D833DF">
      <w:pPr>
        <w:pStyle w:val="Standard"/>
        <w:jc w:val="both"/>
        <w:rPr>
          <w:rFonts w:ascii="Calibri" w:hAnsi="Calibri"/>
          <w:lang w:val="en-US"/>
        </w:rPr>
      </w:pPr>
    </w:p>
    <w:p w:rsidR="00D833DF" w:rsidRPr="00F55496" w:rsidRDefault="00FD0788">
      <w:pPr>
        <w:pStyle w:val="Standard"/>
        <w:ind w:left="17"/>
        <w:jc w:val="both"/>
        <w:rPr>
          <w:lang w:val="en-US"/>
        </w:rPr>
      </w:pPr>
      <w:r>
        <w:rPr>
          <w:rFonts w:ascii="Calibri" w:hAnsi="Calibri"/>
          <w:b/>
          <w:bCs/>
          <w:lang w:val="en-US"/>
        </w:rPr>
        <w:t>Conclusion:</w:t>
      </w:r>
      <w:r>
        <w:rPr>
          <w:rFonts w:ascii="Calibri" w:hAnsi="Calibri"/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Fonts w:ascii="Calibri" w:hAnsi="Calibri"/>
          <w:lang w:val="en-US"/>
        </w:rPr>
        <w:t xml:space="preserve">The </w:t>
      </w:r>
      <w:proofErr w:type="spellStart"/>
      <w:r>
        <w:rPr>
          <w:rFonts w:ascii="Calibri" w:hAnsi="Calibri"/>
          <w:lang w:val="en-US"/>
        </w:rPr>
        <w:t>blueBAG</w:t>
      </w:r>
      <w:proofErr w:type="spellEnd"/>
      <w:r>
        <w:rPr>
          <w:rFonts w:ascii="Calibri" w:hAnsi="Calibri"/>
          <w:lang w:val="en-US"/>
        </w:rPr>
        <w:t xml:space="preserve"> system is more reproducible for the whole breast irradiation. Using axillary nodes as a reference positioning volume should allow having reduced margins compared to registration based on </w:t>
      </w:r>
      <w:r>
        <w:rPr>
          <w:rFonts w:ascii="Calibri" w:hAnsi="Calibri"/>
          <w:lang w:val="en-US"/>
        </w:rPr>
        <w:t>other ROIs.</w:t>
      </w:r>
    </w:p>
    <w:p w:rsidR="00D833DF" w:rsidRDefault="00D833DF">
      <w:pPr>
        <w:pStyle w:val="Standard"/>
        <w:jc w:val="both"/>
        <w:rPr>
          <w:lang w:val="en-US"/>
        </w:rPr>
      </w:pPr>
    </w:p>
    <w:tbl>
      <w:tblPr>
        <w:tblW w:w="10273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1"/>
        <w:gridCol w:w="2001"/>
        <w:gridCol w:w="2001"/>
        <w:gridCol w:w="2270"/>
      </w:tblGrid>
      <w:tr w:rsidR="00D833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DF" w:rsidRDefault="00D833DF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Arm float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AIO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Thermoplastic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BlueBAG</w:t>
            </w:r>
            <w:proofErr w:type="spellEnd"/>
          </w:p>
        </w:tc>
      </w:tr>
      <w:tr w:rsidR="00D833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IMC</w:t>
            </w:r>
          </w:p>
        </w:tc>
        <w:tc>
          <w:tcPr>
            <w:tcW w:w="20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4,34±5,4</w:t>
            </w:r>
          </w:p>
        </w:tc>
        <w:tc>
          <w:tcPr>
            <w:tcW w:w="20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1,89±1,49</w:t>
            </w:r>
          </w:p>
        </w:tc>
        <w:tc>
          <w:tcPr>
            <w:tcW w:w="20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1,59±1,49</w:t>
            </w:r>
          </w:p>
        </w:tc>
        <w:tc>
          <w:tcPr>
            <w:tcW w:w="22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1,72±1,71</w:t>
            </w:r>
          </w:p>
        </w:tc>
      </w:tr>
      <w:tr w:rsidR="00D833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Axillary</w:t>
            </w:r>
          </w:p>
        </w:tc>
        <w:tc>
          <w:tcPr>
            <w:tcW w:w="2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3,87±3,18</w:t>
            </w:r>
          </w:p>
        </w:tc>
        <w:tc>
          <w:tcPr>
            <w:tcW w:w="2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4,38±3,17</w:t>
            </w:r>
          </w:p>
        </w:tc>
        <w:tc>
          <w:tcPr>
            <w:tcW w:w="2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4,12±2,54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2,84±1,80</w:t>
            </w:r>
          </w:p>
        </w:tc>
      </w:tr>
      <w:tr w:rsidR="00D833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Chest/breast</w:t>
            </w:r>
          </w:p>
        </w:tc>
        <w:tc>
          <w:tcPr>
            <w:tcW w:w="2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4,28±2,96</w:t>
            </w:r>
          </w:p>
        </w:tc>
        <w:tc>
          <w:tcPr>
            <w:tcW w:w="2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4,55±2,91</w:t>
            </w:r>
          </w:p>
        </w:tc>
        <w:tc>
          <w:tcPr>
            <w:tcW w:w="2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5,53±2,81</w:t>
            </w:r>
          </w:p>
        </w:tc>
        <w:tc>
          <w:tcPr>
            <w:tcW w:w="2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3,06±2,23</w:t>
            </w:r>
          </w:p>
        </w:tc>
      </w:tr>
      <w:tr w:rsidR="00D833D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supraclavicular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2,74±1,73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3,34±2,55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3,15±2,32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DF" w:rsidRDefault="00FD0788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3,40±2,31</w:t>
            </w:r>
          </w:p>
        </w:tc>
      </w:tr>
    </w:tbl>
    <w:p w:rsidR="00D833DF" w:rsidRPr="00F55496" w:rsidRDefault="00FD0788">
      <w:pPr>
        <w:pStyle w:val="Standard"/>
        <w:ind w:left="17"/>
        <w:jc w:val="center"/>
        <w:rPr>
          <w:lang w:val="en-US"/>
        </w:rPr>
      </w:pPr>
      <w:r>
        <w:rPr>
          <w:i/>
          <w:sz w:val="20"/>
          <w:szCs w:val="20"/>
          <w:u w:val="single"/>
          <w:lang w:val="en-US"/>
        </w:rPr>
        <w:t xml:space="preserve">Table 1: </w:t>
      </w:r>
      <w:r>
        <w:rPr>
          <w:rFonts w:ascii="Calibri" w:hAnsi="Calibri"/>
          <w:i/>
          <w:sz w:val="20"/>
          <w:szCs w:val="20"/>
          <w:u w:val="single"/>
          <w:lang w:val="en-US"/>
        </w:rPr>
        <w:t>Comparison</w:t>
      </w:r>
      <w:r>
        <w:rPr>
          <w:rFonts w:ascii="Calibri" w:hAnsi="Calibri"/>
          <w:sz w:val="20"/>
          <w:szCs w:val="20"/>
          <w:u w:val="single"/>
          <w:lang w:val="en-US"/>
        </w:rPr>
        <w:t xml:space="preserve"> of translation vectors (millimeters) for different IDs</w:t>
      </w:r>
    </w:p>
    <w:p w:rsidR="00D833DF" w:rsidRDefault="00D833DF">
      <w:pPr>
        <w:pStyle w:val="Standard"/>
        <w:jc w:val="both"/>
        <w:rPr>
          <w:rFonts w:ascii="Calibri" w:hAnsi="Calibri"/>
          <w:b/>
          <w:lang w:val="en-US"/>
        </w:rPr>
      </w:pPr>
    </w:p>
    <w:p w:rsidR="00D833DF" w:rsidRPr="00F55496" w:rsidRDefault="00FD0788">
      <w:pPr>
        <w:pStyle w:val="Standard"/>
        <w:jc w:val="both"/>
        <w:rPr>
          <w:lang w:val="en-US"/>
        </w:rPr>
      </w:pPr>
      <w:r>
        <w:rPr>
          <w:rFonts w:ascii="Calibri" w:hAnsi="Calibri"/>
          <w:b/>
          <w:lang w:val="en-US"/>
        </w:rPr>
        <w:t>Reference:</w:t>
      </w:r>
      <w:r>
        <w:rPr>
          <w:rFonts w:ascii="Calibri" w:hAnsi="Calibri"/>
          <w:lang w:val="en-US"/>
        </w:rPr>
        <w:t xml:space="preserve"> [1] van </w:t>
      </w:r>
      <w:proofErr w:type="spellStart"/>
      <w:r>
        <w:rPr>
          <w:rFonts w:ascii="Calibri" w:hAnsi="Calibri"/>
          <w:lang w:val="en-US"/>
        </w:rPr>
        <w:t>Herk</w:t>
      </w:r>
      <w:proofErr w:type="spellEnd"/>
      <w:r>
        <w:rPr>
          <w:rFonts w:ascii="Calibri" w:hAnsi="Calibri"/>
          <w:lang w:val="en-US"/>
        </w:rPr>
        <w:t xml:space="preserve">, </w:t>
      </w:r>
      <w:hyperlink r:id="rId7" w:history="1">
        <w:r>
          <w:rPr>
            <w:rFonts w:ascii="Calibri" w:hAnsi="Calibri"/>
            <w:lang w:val="en-US"/>
          </w:rPr>
          <w:t>Seminars in Radiation Oncology</w:t>
        </w:r>
      </w:hyperlink>
      <w:r>
        <w:rPr>
          <w:rFonts w:ascii="Calibri" w:hAnsi="Calibri"/>
          <w:lang w:val="en-US"/>
        </w:rPr>
        <w:t>, 2004</w:t>
      </w:r>
    </w:p>
    <w:p w:rsidR="00D833DF" w:rsidRDefault="00D833DF">
      <w:pPr>
        <w:pStyle w:val="Standard"/>
        <w:jc w:val="both"/>
        <w:rPr>
          <w:rFonts w:ascii="Calibri" w:hAnsi="Calibri"/>
          <w:lang w:val="en-US"/>
        </w:rPr>
      </w:pPr>
    </w:p>
    <w:sectPr w:rsidR="00D833D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88" w:rsidRDefault="00FD0788">
      <w:r>
        <w:separator/>
      </w:r>
    </w:p>
  </w:endnote>
  <w:endnote w:type="continuationSeparator" w:id="0">
    <w:p w:rsidR="00FD0788" w:rsidRDefault="00FD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88" w:rsidRDefault="00FD0788">
      <w:r>
        <w:rPr>
          <w:color w:val="000000"/>
        </w:rPr>
        <w:separator/>
      </w:r>
    </w:p>
  </w:footnote>
  <w:footnote w:type="continuationSeparator" w:id="0">
    <w:p w:rsidR="00FD0788" w:rsidRDefault="00FD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33DF"/>
    <w:rsid w:val="00D833DF"/>
    <w:rsid w:val="00F55496"/>
    <w:rsid w:val="00F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3">
    <w:name w:val="heading 3"/>
    <w:basedOn w:val="Normal"/>
    <w:pPr>
      <w:widowControl/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ighlight">
    <w:name w:val="highlight"/>
    <w:basedOn w:val="Policepardfaut"/>
  </w:style>
  <w:style w:type="character" w:customStyle="1" w:styleId="apple-converted-space">
    <w:name w:val="apple-converted-space"/>
    <w:basedOn w:val="Policepardfaut"/>
  </w:style>
  <w:style w:type="character" w:customStyle="1" w:styleId="Titre3Car">
    <w:name w:val="Titre 3 Car"/>
    <w:basedOn w:val="Policepardfaut"/>
    <w:rPr>
      <w:rFonts w:eastAsia="Times New Roman" w:cs="Times New Roman"/>
      <w:b/>
      <w:bCs/>
      <w:kern w:val="0"/>
      <w:sz w:val="27"/>
      <w:szCs w:val="27"/>
      <w:lang w:eastAsia="fr-FR" w:bidi="ar-SA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3">
    <w:name w:val="heading 3"/>
    <w:basedOn w:val="Normal"/>
    <w:pPr>
      <w:widowControl/>
      <w:suppressAutoHyphens w:val="0"/>
      <w:spacing w:before="100" w:after="100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ighlight">
    <w:name w:val="highlight"/>
    <w:basedOn w:val="Policepardfaut"/>
  </w:style>
  <w:style w:type="character" w:customStyle="1" w:styleId="apple-converted-space">
    <w:name w:val="apple-converted-space"/>
    <w:basedOn w:val="Policepardfaut"/>
  </w:style>
  <w:style w:type="character" w:customStyle="1" w:styleId="Titre3Car">
    <w:name w:val="Titre 3 Car"/>
    <w:basedOn w:val="Policepardfaut"/>
    <w:rPr>
      <w:rFonts w:eastAsia="Times New Roman" w:cs="Times New Roman"/>
      <w:b/>
      <w:bCs/>
      <w:kern w:val="0"/>
      <w:sz w:val="27"/>
      <w:szCs w:val="27"/>
      <w:lang w:eastAsia="fr-FR" w:bidi="ar-SA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radonc.com/article/S1053-4296(03)00084-5/abstrac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Léon Bérard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JARRIL Jimmy</dc:creator>
  <cp:lastModifiedBy>BISTON Marie Claude</cp:lastModifiedBy>
  <cp:revision>2</cp:revision>
  <dcterms:created xsi:type="dcterms:W3CDTF">2017-04-15T16:05:00Z</dcterms:created>
  <dcterms:modified xsi:type="dcterms:W3CDTF">2017-04-15T16:05:00Z</dcterms:modified>
</cp:coreProperties>
</file>