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5C" w:rsidRPr="00B71331" w:rsidRDefault="00B71331" w:rsidP="00B13876">
      <w:pPr>
        <w:spacing w:line="240" w:lineRule="auto"/>
        <w:jc w:val="both"/>
        <w:rPr>
          <w:b/>
        </w:rPr>
      </w:pPr>
      <w:r w:rsidRPr="00B71331">
        <w:rPr>
          <w:b/>
        </w:rPr>
        <w:t xml:space="preserve">Titre : </w:t>
      </w:r>
      <w:proofErr w:type="spellStart"/>
      <w:r w:rsidR="00B06344" w:rsidRPr="00B06344">
        <w:t>Cov</w:t>
      </w:r>
      <w:r w:rsidRPr="00AC1DA5">
        <w:t>alidation</w:t>
      </w:r>
      <w:proofErr w:type="spellEnd"/>
      <w:r w:rsidRPr="00AC1DA5">
        <w:t xml:space="preserve"> </w:t>
      </w:r>
      <w:r w:rsidR="007173BA">
        <w:t xml:space="preserve">des performances d’une sonde échographique </w:t>
      </w:r>
      <w:proofErr w:type="spellStart"/>
      <w:r w:rsidR="00AC1DA5" w:rsidRPr="00AC1DA5">
        <w:t>transpérinéal</w:t>
      </w:r>
      <w:r w:rsidR="007173BA">
        <w:t>e</w:t>
      </w:r>
      <w:proofErr w:type="spellEnd"/>
      <w:r w:rsidR="008E617C">
        <w:t xml:space="preserve"> </w:t>
      </w:r>
      <w:r w:rsidR="00B06344">
        <w:t>et d’un</w:t>
      </w:r>
      <w:r w:rsidR="008E617C">
        <w:t xml:space="preserve"> </w:t>
      </w:r>
      <w:r w:rsidR="006F576B">
        <w:t xml:space="preserve">système basé sur un </w:t>
      </w:r>
      <w:r w:rsidR="008E617C">
        <w:t>transmetteur radiofréquence</w:t>
      </w:r>
      <w:r w:rsidRPr="00AC1DA5">
        <w:t xml:space="preserve"> </w:t>
      </w:r>
      <w:r w:rsidR="007173BA">
        <w:t xml:space="preserve">pour monitorer les mouvements de la prostate </w:t>
      </w:r>
      <w:r w:rsidR="00AC1DA5" w:rsidRPr="00AC1DA5">
        <w:t>en radiothérapie</w:t>
      </w:r>
    </w:p>
    <w:p w:rsidR="000B115C" w:rsidRPr="00586FF7" w:rsidRDefault="00586FF7" w:rsidP="000B115C">
      <w:pPr>
        <w:spacing w:after="0"/>
        <w:rPr>
          <w:vertAlign w:val="superscript"/>
        </w:rPr>
      </w:pPr>
      <w:r w:rsidRPr="00586FF7">
        <w:rPr>
          <w:b/>
        </w:rPr>
        <w:t>Auteu</w:t>
      </w:r>
      <w:r w:rsidR="000B115C" w:rsidRPr="00586FF7">
        <w:rPr>
          <w:b/>
        </w:rPr>
        <w:t xml:space="preserve">rs: </w:t>
      </w:r>
      <w:r w:rsidR="000B115C" w:rsidRPr="00586FF7">
        <w:t>L.Delcoudert</w:t>
      </w:r>
      <w:r w:rsidR="000B115C" w:rsidRPr="00586FF7">
        <w:rPr>
          <w:vertAlign w:val="superscript"/>
        </w:rPr>
        <w:t>1</w:t>
      </w:r>
      <w:r w:rsidR="000B115C" w:rsidRPr="00586FF7">
        <w:t xml:space="preserve">, M. </w:t>
      </w:r>
      <w:proofErr w:type="spellStart"/>
      <w:r w:rsidR="000B115C" w:rsidRPr="00586FF7">
        <w:t>Fargier</w:t>
      </w:r>
      <w:proofErr w:type="spellEnd"/>
      <w:r w:rsidR="000B115C" w:rsidRPr="00586FF7">
        <w:t xml:space="preserve"> Voiron</w:t>
      </w:r>
      <w:r w:rsidR="000B115C" w:rsidRPr="00586FF7">
        <w:rPr>
          <w:vertAlign w:val="superscript"/>
        </w:rPr>
        <w:t>1</w:t>
      </w:r>
      <w:r w:rsidR="000B115C" w:rsidRPr="00586FF7">
        <w:t>, A. Munoz</w:t>
      </w:r>
      <w:r w:rsidR="000B115C" w:rsidRPr="00586FF7">
        <w:rPr>
          <w:vertAlign w:val="superscript"/>
        </w:rPr>
        <w:t>1</w:t>
      </w:r>
      <w:r w:rsidR="000B115C" w:rsidRPr="00586FF7">
        <w:t>, P.Pommier</w:t>
      </w:r>
      <w:r w:rsidR="000B115C" w:rsidRPr="00586FF7">
        <w:rPr>
          <w:vertAlign w:val="superscript"/>
        </w:rPr>
        <w:t>1</w:t>
      </w:r>
      <w:r w:rsidR="000B115C" w:rsidRPr="00586FF7">
        <w:t>, M.C. Biston</w:t>
      </w:r>
      <w:r w:rsidR="000B115C" w:rsidRPr="00586FF7">
        <w:rPr>
          <w:vertAlign w:val="superscript"/>
        </w:rPr>
        <w:t>1</w:t>
      </w:r>
      <w:proofErr w:type="gramStart"/>
      <w:r w:rsidR="000B115C" w:rsidRPr="00586FF7">
        <w:rPr>
          <w:vertAlign w:val="superscript"/>
        </w:rPr>
        <w:t>,2</w:t>
      </w:r>
      <w:proofErr w:type="gramEnd"/>
    </w:p>
    <w:p w:rsidR="000B115C" w:rsidRDefault="000B115C" w:rsidP="000B115C">
      <w:pPr>
        <w:spacing w:after="0"/>
        <w:jc w:val="both"/>
        <w:rPr>
          <w:lang w:val="en-GB"/>
        </w:rPr>
      </w:pPr>
      <w:r w:rsidRPr="00765446">
        <w:rPr>
          <w:b/>
          <w:vertAlign w:val="superscript"/>
          <w:lang w:val="en-US"/>
        </w:rPr>
        <w:t xml:space="preserve">1 </w:t>
      </w:r>
      <w:r w:rsidRPr="001C6AED">
        <w:rPr>
          <w:lang w:val="en-GB"/>
        </w:rPr>
        <w:t xml:space="preserve">Léon </w:t>
      </w:r>
      <w:proofErr w:type="spellStart"/>
      <w:r w:rsidRPr="001C6AED">
        <w:rPr>
          <w:lang w:val="en-GB"/>
        </w:rPr>
        <w:t>Bérard</w:t>
      </w:r>
      <w:proofErr w:type="spellEnd"/>
      <w:r w:rsidRPr="001C6AED">
        <w:rPr>
          <w:lang w:val="en-GB"/>
        </w:rPr>
        <w:t xml:space="preserve"> Cancer </w:t>
      </w:r>
      <w:proofErr w:type="spellStart"/>
      <w:r w:rsidRPr="001C6AED">
        <w:rPr>
          <w:lang w:val="en-GB"/>
        </w:rPr>
        <w:t>Center</w:t>
      </w:r>
      <w:proofErr w:type="spellEnd"/>
      <w:r w:rsidRPr="001C6AED">
        <w:rPr>
          <w:lang w:val="en-GB"/>
        </w:rPr>
        <w:t>, University of Lyon, F-69373 Lyon, France</w:t>
      </w:r>
    </w:p>
    <w:p w:rsidR="000B115C" w:rsidRPr="00765446" w:rsidRDefault="000B115C" w:rsidP="003A7CAD">
      <w:pPr>
        <w:spacing w:after="120" w:line="240" w:lineRule="auto"/>
        <w:jc w:val="both"/>
      </w:pPr>
      <w:r w:rsidRPr="00765446">
        <w:rPr>
          <w:vertAlign w:val="superscript"/>
        </w:rPr>
        <w:t>2</w:t>
      </w:r>
      <w:r w:rsidRPr="00765446">
        <w:t xml:space="preserve"> </w:t>
      </w:r>
      <w:r w:rsidRPr="007144BF">
        <w:t>CREATIS; CNRS UMR5220; Inserm U1044; INSA-Lyon; Université Lyon 1, Université de Lyon, Villeurbanne, France</w:t>
      </w:r>
    </w:p>
    <w:p w:rsidR="003A7CAD" w:rsidRDefault="000B115C" w:rsidP="00AC1DA5">
      <w:pPr>
        <w:spacing w:after="0"/>
        <w:contextualSpacing/>
        <w:jc w:val="both"/>
      </w:pPr>
      <w:r w:rsidRPr="00B71331">
        <w:rPr>
          <w:b/>
        </w:rPr>
        <w:t>Introduction:</w:t>
      </w:r>
      <w:r w:rsidRPr="00B71331">
        <w:t xml:space="preserve"> </w:t>
      </w:r>
      <w:r w:rsidR="00B71331" w:rsidRPr="008D2106">
        <w:rPr>
          <w:bCs/>
          <w:kern w:val="32"/>
        </w:rPr>
        <w:t>L</w:t>
      </w:r>
      <w:r w:rsidR="007173BA">
        <w:rPr>
          <w:bCs/>
          <w:kern w:val="32"/>
        </w:rPr>
        <w:t>a délivrance d’un traitement de radiothérapie</w:t>
      </w:r>
      <w:r w:rsidR="00B71331">
        <w:rPr>
          <w:bCs/>
          <w:kern w:val="32"/>
        </w:rPr>
        <w:t xml:space="preserve"> </w:t>
      </w:r>
      <w:proofErr w:type="spellStart"/>
      <w:r w:rsidR="00B71331">
        <w:rPr>
          <w:bCs/>
          <w:kern w:val="32"/>
        </w:rPr>
        <w:t>hypo</w:t>
      </w:r>
      <w:r w:rsidR="007173BA">
        <w:rPr>
          <w:bCs/>
          <w:kern w:val="32"/>
        </w:rPr>
        <w:t>fractionné</w:t>
      </w:r>
      <w:proofErr w:type="spellEnd"/>
      <w:r w:rsidR="00B71331">
        <w:rPr>
          <w:bCs/>
          <w:kern w:val="32"/>
        </w:rPr>
        <w:t xml:space="preserve"> pour le cancer de la prostate</w:t>
      </w:r>
      <w:r w:rsidR="007173BA">
        <w:rPr>
          <w:bCs/>
          <w:kern w:val="32"/>
        </w:rPr>
        <w:t xml:space="preserve"> requiert une grande précision à cau</w:t>
      </w:r>
      <w:r w:rsidR="00163774">
        <w:rPr>
          <w:bCs/>
          <w:kern w:val="32"/>
        </w:rPr>
        <w:t>se d’</w:t>
      </w:r>
      <w:r w:rsidR="00B71331" w:rsidRPr="008D2106">
        <w:rPr>
          <w:bCs/>
          <w:kern w:val="32"/>
        </w:rPr>
        <w:t xml:space="preserve">un risque accru de </w:t>
      </w:r>
      <w:r w:rsidR="00B71331">
        <w:rPr>
          <w:bCs/>
          <w:kern w:val="32"/>
        </w:rPr>
        <w:t>toxicité pour les tissus sains</w:t>
      </w:r>
      <w:r w:rsidRPr="00B71331">
        <w:t xml:space="preserve">. </w:t>
      </w:r>
      <w:r w:rsidR="007173BA">
        <w:t xml:space="preserve">Cela nécessite </w:t>
      </w:r>
      <w:r w:rsidR="002907AC" w:rsidRPr="008D2106">
        <w:rPr>
          <w:bCs/>
          <w:kern w:val="32"/>
        </w:rPr>
        <w:t xml:space="preserve">une modalité robuste d’imagerie </w:t>
      </w:r>
      <w:proofErr w:type="spellStart"/>
      <w:r w:rsidR="002907AC" w:rsidRPr="008D2106">
        <w:rPr>
          <w:bCs/>
          <w:kern w:val="32"/>
        </w:rPr>
        <w:t>interfraction</w:t>
      </w:r>
      <w:proofErr w:type="spellEnd"/>
      <w:r w:rsidR="002907AC" w:rsidRPr="008D2106">
        <w:rPr>
          <w:bCs/>
          <w:kern w:val="32"/>
        </w:rPr>
        <w:t xml:space="preserve"> </w:t>
      </w:r>
      <w:r w:rsidR="002907AC">
        <w:rPr>
          <w:bCs/>
          <w:kern w:val="32"/>
        </w:rPr>
        <w:t xml:space="preserve">couplée à </w:t>
      </w:r>
      <w:r w:rsidR="007173BA">
        <w:rPr>
          <w:bCs/>
          <w:kern w:val="32"/>
        </w:rPr>
        <w:t>un dispositif de monitorage des mouvements</w:t>
      </w:r>
      <w:r w:rsidR="002907AC">
        <w:rPr>
          <w:bCs/>
          <w:kern w:val="32"/>
        </w:rPr>
        <w:t xml:space="preserve"> </w:t>
      </w:r>
      <w:proofErr w:type="spellStart"/>
      <w:r w:rsidR="002907AC" w:rsidRPr="008D2106">
        <w:rPr>
          <w:bCs/>
          <w:kern w:val="32"/>
        </w:rPr>
        <w:t>intrafraction</w:t>
      </w:r>
      <w:proofErr w:type="spellEnd"/>
      <w:r w:rsidRPr="002907AC">
        <w:t xml:space="preserve">. </w:t>
      </w:r>
      <w:r w:rsidR="002907AC" w:rsidRPr="002907AC">
        <w:t>Deux systèmes sont disponibles dans notre service</w:t>
      </w:r>
      <w:r w:rsidRPr="002907AC">
        <w:t xml:space="preserve">: </w:t>
      </w:r>
      <w:r w:rsidR="002907AC">
        <w:t>un transmetteur implanté dans la prostate</w:t>
      </w:r>
      <w:r w:rsidRPr="002907AC">
        <w:t xml:space="preserve"> (RP) (</w:t>
      </w:r>
      <w:proofErr w:type="spellStart"/>
      <w:r w:rsidRPr="002907AC">
        <w:t>RayPilot</w:t>
      </w:r>
      <w:proofErr w:type="spellEnd"/>
      <w:r w:rsidR="002907AC">
        <w:t xml:space="preserve">®, </w:t>
      </w:r>
      <w:proofErr w:type="spellStart"/>
      <w:r w:rsidR="002907AC">
        <w:t>Micropos</w:t>
      </w:r>
      <w:proofErr w:type="spellEnd"/>
      <w:r w:rsidR="002907AC">
        <w:t xml:space="preserve"> </w:t>
      </w:r>
      <w:proofErr w:type="spellStart"/>
      <w:r w:rsidR="002907AC">
        <w:t>Medical</w:t>
      </w:r>
      <w:proofErr w:type="spellEnd"/>
      <w:r w:rsidR="002907AC">
        <w:t xml:space="preserve">, </w:t>
      </w:r>
      <w:proofErr w:type="spellStart"/>
      <w:r w:rsidR="002907AC">
        <w:t>Sweden</w:t>
      </w:r>
      <w:proofErr w:type="spellEnd"/>
      <w:r w:rsidR="002907AC">
        <w:t>) et</w:t>
      </w:r>
      <w:r w:rsidR="003A7CAD">
        <w:t xml:space="preserve"> </w:t>
      </w:r>
      <w:r w:rsidR="002907AC">
        <w:t>une sonde</w:t>
      </w:r>
      <w:r w:rsidR="003A7CAD">
        <w:t xml:space="preserve"> échographique</w:t>
      </w:r>
      <w:r w:rsidR="002907AC">
        <w:t xml:space="preserve"> </w:t>
      </w:r>
      <w:proofErr w:type="spellStart"/>
      <w:r w:rsidR="002907AC">
        <w:t>transpérinéale</w:t>
      </w:r>
      <w:proofErr w:type="spellEnd"/>
      <w:r w:rsidRPr="002907AC">
        <w:t xml:space="preserve"> (TP-US) (</w:t>
      </w:r>
      <w:proofErr w:type="spellStart"/>
      <w:r w:rsidRPr="002907AC">
        <w:t>Clarity</w:t>
      </w:r>
      <w:proofErr w:type="spellEnd"/>
      <w:r w:rsidRPr="002907AC">
        <w:t xml:space="preserve">®, </w:t>
      </w:r>
      <w:proofErr w:type="spellStart"/>
      <w:r w:rsidRPr="002907AC">
        <w:t>Elekta</w:t>
      </w:r>
      <w:proofErr w:type="spellEnd"/>
      <w:r w:rsidRPr="002907AC">
        <w:t xml:space="preserve">, </w:t>
      </w:r>
      <w:proofErr w:type="spellStart"/>
      <w:r w:rsidRPr="002907AC">
        <w:t>Sweden</w:t>
      </w:r>
      <w:proofErr w:type="spellEnd"/>
      <w:r w:rsidRPr="002907AC">
        <w:t xml:space="preserve">). </w:t>
      </w:r>
      <w:r w:rsidR="002907AC">
        <w:t xml:space="preserve">Le premier but de cette étude </w:t>
      </w:r>
      <w:r w:rsidR="008E617C">
        <w:t>a été</w:t>
      </w:r>
      <w:r w:rsidR="002907AC">
        <w:t xml:space="preserve"> </w:t>
      </w:r>
      <w:r w:rsidR="00586FF7">
        <w:t>d’évaluer cliniquement</w:t>
      </w:r>
      <w:r w:rsidR="002907AC">
        <w:t xml:space="preserve"> l’algorithme</w:t>
      </w:r>
      <w:r w:rsidR="00586FF7">
        <w:t xml:space="preserve"> du TP-US en le comparant au système RP</w:t>
      </w:r>
      <w:r w:rsidRPr="002907AC">
        <w:t xml:space="preserve">. </w:t>
      </w:r>
      <w:r w:rsidR="00586FF7">
        <w:t xml:space="preserve">Dans un second temps, une étude rétrospective sur les mouvements </w:t>
      </w:r>
      <w:proofErr w:type="spellStart"/>
      <w:r w:rsidR="00586FF7">
        <w:t>intrafractions</w:t>
      </w:r>
      <w:proofErr w:type="spellEnd"/>
      <w:r w:rsidR="00586FF7">
        <w:t xml:space="preserve"> observés avec l</w:t>
      </w:r>
      <w:r w:rsidR="006F576B">
        <w:t>a sonde</w:t>
      </w:r>
      <w:r w:rsidR="00586FF7">
        <w:t xml:space="preserve"> TP-US durant les traitements a été réalisée.</w:t>
      </w:r>
    </w:p>
    <w:p w:rsidR="003A7CAD" w:rsidRPr="00AC1DA5" w:rsidRDefault="003A7CAD" w:rsidP="00AC1DA5">
      <w:pPr>
        <w:spacing w:after="0"/>
        <w:jc w:val="both"/>
        <w:rPr>
          <w:b/>
          <w:sz w:val="16"/>
        </w:rPr>
      </w:pPr>
    </w:p>
    <w:p w:rsidR="000B115C" w:rsidRDefault="003A7CAD" w:rsidP="00AC1DA5">
      <w:pPr>
        <w:spacing w:after="0"/>
        <w:jc w:val="both"/>
      </w:pPr>
      <w:r w:rsidRPr="00586FF7">
        <w:rPr>
          <w:b/>
        </w:rPr>
        <w:t>Matériel</w:t>
      </w:r>
      <w:r w:rsidR="00586FF7" w:rsidRPr="00586FF7">
        <w:rPr>
          <w:b/>
        </w:rPr>
        <w:t xml:space="preserve"> et mét</w:t>
      </w:r>
      <w:r w:rsidR="000B115C" w:rsidRPr="00586FF7">
        <w:rPr>
          <w:b/>
        </w:rPr>
        <w:t>hod</w:t>
      </w:r>
      <w:r w:rsidR="00586FF7" w:rsidRPr="00586FF7">
        <w:rPr>
          <w:b/>
        </w:rPr>
        <w:t>e</w:t>
      </w:r>
      <w:r w:rsidR="000B115C" w:rsidRPr="00586FF7">
        <w:rPr>
          <w:b/>
        </w:rPr>
        <w:t xml:space="preserve">s: </w:t>
      </w:r>
      <w:r>
        <w:t>Quatre</w:t>
      </w:r>
      <w:r w:rsidR="00586FF7">
        <w:t xml:space="preserve"> patients ont été monitorés</w:t>
      </w:r>
      <w:r w:rsidR="008E617C">
        <w:t xml:space="preserve"> </w:t>
      </w:r>
      <w:r w:rsidR="008E617C">
        <w:t>simultanément</w:t>
      </w:r>
      <w:r w:rsidR="00586FF7">
        <w:t xml:space="preserve"> à l’aide des </w:t>
      </w:r>
      <w:r w:rsidR="008E617C">
        <w:t>2</w:t>
      </w:r>
      <w:r w:rsidR="00586FF7">
        <w:t xml:space="preserve"> systèmes (80 sessions).</w:t>
      </w:r>
      <w:r w:rsidR="00163774">
        <w:t xml:space="preserve"> </w:t>
      </w:r>
      <w:r>
        <w:t>Les</w:t>
      </w:r>
      <w:r w:rsidR="009868E3">
        <w:t xml:space="preserve"> mouvements</w:t>
      </w:r>
      <w:r w:rsidR="006F576B">
        <w:t xml:space="preserve"> </w:t>
      </w:r>
      <w:proofErr w:type="spellStart"/>
      <w:r w:rsidR="006F576B">
        <w:t>intrafractions</w:t>
      </w:r>
      <w:proofErr w:type="spellEnd"/>
      <w:r w:rsidR="006F576B">
        <w:t xml:space="preserve"> collectés par la sonde</w:t>
      </w:r>
      <w:r w:rsidR="009868E3">
        <w:t xml:space="preserve"> TP-US ont été rétrospectivement analysés pour 23 patients (730 sessions </w:t>
      </w:r>
      <w:r w:rsidR="008E617C">
        <w:t>de</w:t>
      </w:r>
      <w:r w:rsidR="009868E3">
        <w:t xml:space="preserve"> 420s). Enfin à l’aide des données de l’analyse rétrospective, une simulation du nombre d’interruptions de traitement requis pour différents seuils d’</w:t>
      </w:r>
      <w:r w:rsidR="001668A3">
        <w:t>interventions (en temps/</w:t>
      </w:r>
      <w:r w:rsidR="009868E3">
        <w:t>distance) a été réalisée.</w:t>
      </w:r>
    </w:p>
    <w:p w:rsidR="00163774" w:rsidRPr="00AC1DA5" w:rsidRDefault="00163774" w:rsidP="00AC1DA5">
      <w:pPr>
        <w:spacing w:after="0"/>
        <w:jc w:val="both"/>
        <w:rPr>
          <w:b/>
          <w:sz w:val="16"/>
        </w:rPr>
      </w:pPr>
    </w:p>
    <w:p w:rsidR="000B115C" w:rsidRDefault="003A7CAD" w:rsidP="00AC1DA5">
      <w:pPr>
        <w:spacing w:after="0"/>
        <w:jc w:val="both"/>
      </w:pPr>
      <w:r w:rsidRPr="00586FF7">
        <w:rPr>
          <w:b/>
        </w:rPr>
        <w:t>Résult</w:t>
      </w:r>
      <w:r>
        <w:rPr>
          <w:b/>
        </w:rPr>
        <w:t>at</w:t>
      </w:r>
      <w:r w:rsidRPr="00586FF7">
        <w:rPr>
          <w:b/>
        </w:rPr>
        <w:t>s</w:t>
      </w:r>
      <w:r w:rsidR="000B115C" w:rsidRPr="00586FF7">
        <w:rPr>
          <w:b/>
        </w:rPr>
        <w:t xml:space="preserve">: </w:t>
      </w:r>
      <w:r w:rsidR="009868E3" w:rsidRPr="009868E3">
        <w:t>Une ex</w:t>
      </w:r>
      <w:r w:rsidR="009868E3">
        <w:t xml:space="preserve">cellente corrélation a été trouvée entre les </w:t>
      </w:r>
      <w:r w:rsidR="008E617C">
        <w:t>2</w:t>
      </w:r>
      <w:r w:rsidR="009868E3">
        <w:t xml:space="preserve"> systèmes de monitoring.</w:t>
      </w:r>
      <w:r w:rsidR="00491B44">
        <w:t xml:space="preserve"> Les écarts moyens entre les mouvements observés ont été de </w:t>
      </w:r>
      <w:r w:rsidR="00491B44" w:rsidRPr="00586FF7">
        <w:t>0.03 ± 0.28 mm, 0.06 ± 0.39 mm, -0.11 ± 0.36 mm</w:t>
      </w:r>
      <w:r w:rsidR="00491B44">
        <w:t xml:space="preserve"> respectivement en gauche-droite (LR), en antéro-postérieur (AP) et en </w:t>
      </w:r>
      <w:proofErr w:type="spellStart"/>
      <w:r w:rsidR="00491B44">
        <w:t>supéro</w:t>
      </w:r>
      <w:proofErr w:type="spellEnd"/>
      <w:r w:rsidR="00491B44">
        <w:t>-inférieur (SI).</w:t>
      </w:r>
      <w:r w:rsidR="000B115C" w:rsidRPr="00586FF7">
        <w:t xml:space="preserve"> </w:t>
      </w:r>
      <w:r w:rsidR="00491B44">
        <w:t>Les différences étaient de moins de 1 mm</w:t>
      </w:r>
      <w:r w:rsidR="00163774">
        <w:t xml:space="preserve"> dans 91% des mesures en considérant</w:t>
      </w:r>
      <w:r w:rsidR="00491B44">
        <w:t xml:space="preserve"> les </w:t>
      </w:r>
      <w:r w:rsidR="008E617C">
        <w:t>3</w:t>
      </w:r>
      <w:r w:rsidR="00491B44">
        <w:t xml:space="preserve"> directions. Les plus grandes différences ont été trouvées dans les directions AP et SI</w:t>
      </w:r>
      <w:r w:rsidR="00234968">
        <w:t xml:space="preserve"> (9% et 7,7% </w:t>
      </w:r>
      <w:r w:rsidR="006F576B">
        <w:t>des écarts&gt;</w:t>
      </w:r>
      <w:r w:rsidR="00234968">
        <w:t>1mm)</w:t>
      </w:r>
      <w:r w:rsidR="000B115C" w:rsidRPr="00586FF7">
        <w:t>.</w:t>
      </w:r>
      <w:r w:rsidR="00163774">
        <w:t xml:space="preserve"> </w:t>
      </w:r>
      <w:r w:rsidR="00234968">
        <w:t xml:space="preserve">L’analyse rétrospective a montré </w:t>
      </w:r>
      <w:r w:rsidR="00163774">
        <w:t>des déplacements moyens inférieurs</w:t>
      </w:r>
      <w:r w:rsidR="00234968">
        <w:t xml:space="preserve"> à 2 mm dans toutes les directions</w:t>
      </w:r>
      <w:r w:rsidR="000B115C" w:rsidRPr="00586FF7">
        <w:t xml:space="preserve"> (Table</w:t>
      </w:r>
      <w:r w:rsidR="00234968">
        <w:t>au</w:t>
      </w:r>
      <w:r w:rsidR="000B115C" w:rsidRPr="00586FF7">
        <w:t xml:space="preserve"> 1). </w:t>
      </w:r>
      <w:r w:rsidR="00234968">
        <w:t>Une plus grande variabilité a été observée dans les directions AP et SI</w:t>
      </w:r>
      <w:r w:rsidR="000B115C" w:rsidRPr="00586FF7">
        <w:t>.</w:t>
      </w:r>
      <w:r w:rsidR="00234968">
        <w:t xml:space="preserve"> On notera que cette va</w:t>
      </w:r>
      <w:r>
        <w:t>riabilité est patient dépendent</w:t>
      </w:r>
      <w:r w:rsidR="000B115C" w:rsidRPr="00586FF7">
        <w:t xml:space="preserve">. </w:t>
      </w:r>
      <w:r w:rsidR="00234968">
        <w:t>En fixant des seuils d’actions à 2 et 3 mm pendant au moins 15 secondes, le nombre moyen d’interruptions de traitement par session est respectivement de 0.94 et 0.47 sur l’ensemble des patients</w:t>
      </w:r>
      <w:r w:rsidR="000B115C" w:rsidRPr="00586FF7">
        <w:t>.</w:t>
      </w:r>
      <w:r w:rsidR="00234968">
        <w:t xml:space="preserve"> Pour les patients qui </w:t>
      </w:r>
      <w:r w:rsidR="001668A3">
        <w:t>ont</w:t>
      </w:r>
      <w:r w:rsidR="00234968">
        <w:t xml:space="preserve"> des mouvements importants, </w:t>
      </w:r>
      <w:r>
        <w:t>ce nombre</w:t>
      </w:r>
      <w:r w:rsidR="00234968">
        <w:t xml:space="preserve"> peut atteindre 2.13 et 1.43 </w:t>
      </w:r>
      <w:r>
        <w:t>avec des</w:t>
      </w:r>
      <w:r w:rsidR="00234968">
        <w:t xml:space="preserve"> seuil</w:t>
      </w:r>
      <w:r>
        <w:t>s</w:t>
      </w:r>
      <w:r w:rsidR="00234968">
        <w:t xml:space="preserve"> de 2 et 3 mm</w:t>
      </w:r>
      <w:r w:rsidR="009762EF">
        <w:t>, respectivement</w:t>
      </w:r>
      <w:r w:rsidR="00234968">
        <w:t>.</w:t>
      </w:r>
      <w:r w:rsidR="000B115C" w:rsidRPr="00586FF7">
        <w:t xml:space="preserve"> </w:t>
      </w:r>
    </w:p>
    <w:p w:rsidR="001668A3" w:rsidRPr="00AC1DA5" w:rsidRDefault="001668A3" w:rsidP="00AC1DA5">
      <w:pPr>
        <w:spacing w:after="0"/>
        <w:jc w:val="both"/>
        <w:rPr>
          <w:b/>
          <w:sz w:val="16"/>
        </w:rPr>
      </w:pPr>
    </w:p>
    <w:p w:rsidR="009762EF" w:rsidRDefault="000B115C" w:rsidP="00AC1DA5">
      <w:pPr>
        <w:spacing w:after="0"/>
        <w:jc w:val="both"/>
      </w:pPr>
      <w:r w:rsidRPr="00B71331">
        <w:rPr>
          <w:b/>
        </w:rPr>
        <w:t xml:space="preserve">Conclusion: </w:t>
      </w:r>
      <w:r w:rsidR="001668A3">
        <w:t>Le</w:t>
      </w:r>
      <w:r w:rsidR="009762EF">
        <w:t xml:space="preserve"> système </w:t>
      </w:r>
      <w:proofErr w:type="spellStart"/>
      <w:r w:rsidR="009762EF">
        <w:t>Clarity</w:t>
      </w:r>
      <w:proofErr w:type="spellEnd"/>
      <w:r w:rsidRPr="00B71331">
        <w:t xml:space="preserve"> </w:t>
      </w:r>
      <w:r w:rsidR="001668A3">
        <w:t xml:space="preserve">est </w:t>
      </w:r>
      <w:r w:rsidR="009762EF">
        <w:t>un dispositif</w:t>
      </w:r>
      <w:r w:rsidR="001668A3">
        <w:t xml:space="preserve"> </w:t>
      </w:r>
      <w:r w:rsidR="009762EF">
        <w:t>non invasif et non irradiant</w:t>
      </w:r>
      <w:r w:rsidR="009762EF">
        <w:t xml:space="preserve"> </w:t>
      </w:r>
      <w:r w:rsidR="001668A3">
        <w:t xml:space="preserve">fiable </w:t>
      </w:r>
      <w:r w:rsidR="00DA508A">
        <w:t>de monitor</w:t>
      </w:r>
      <w:r w:rsidR="009762EF">
        <w:t>age</w:t>
      </w:r>
      <w:r w:rsidR="00DA508A">
        <w:t xml:space="preserve"> de la prostate durant</w:t>
      </w:r>
      <w:r w:rsidR="001668A3">
        <w:t xml:space="preserve"> les </w:t>
      </w:r>
      <w:r w:rsidR="009762EF">
        <w:t>séance</w:t>
      </w:r>
      <w:r w:rsidR="001668A3">
        <w:t>s de radiothérapie. L’amplitude moyenne des déplacements</w:t>
      </w:r>
      <w:r w:rsidR="009762EF">
        <w:t xml:space="preserve"> observés</w:t>
      </w:r>
      <w:r w:rsidR="001668A3">
        <w:t xml:space="preserve"> sur la totalité des patients n’est pas importante. </w:t>
      </w:r>
      <w:r w:rsidR="009762EF">
        <w:t xml:space="preserve">Toutefois </w:t>
      </w:r>
      <w:r w:rsidR="001668A3">
        <w:t xml:space="preserve">des déplacements </w:t>
      </w:r>
      <w:r w:rsidR="009762EF">
        <w:t xml:space="preserve">aléatoires </w:t>
      </w:r>
      <w:r w:rsidR="001668A3">
        <w:t>significatifs</w:t>
      </w:r>
      <w:r w:rsidR="009762EF">
        <w:t xml:space="preserve"> sont susceptibles de</w:t>
      </w:r>
      <w:r w:rsidR="001668A3">
        <w:t xml:space="preserve"> </w:t>
      </w:r>
      <w:r w:rsidR="009762EF">
        <w:t>se produire et justifient la nécessité d’une modalité de monitoring pour des séances de traitement longues délivrant de fortes doses.</w:t>
      </w:r>
    </w:p>
    <w:p w:rsidR="009762EF" w:rsidRDefault="009762EF">
      <w:r>
        <w:br w:type="page"/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B115C" w:rsidRPr="00B71331" w:rsidTr="000B4364">
        <w:trPr>
          <w:trHeight w:val="340"/>
        </w:trPr>
        <w:tc>
          <w:tcPr>
            <w:tcW w:w="2303" w:type="dxa"/>
            <w:vAlign w:val="center"/>
          </w:tcPr>
          <w:p w:rsidR="000B115C" w:rsidRPr="00B71331" w:rsidRDefault="000B115C" w:rsidP="000B4364">
            <w:pPr>
              <w:jc w:val="center"/>
            </w:pPr>
          </w:p>
        </w:tc>
        <w:tc>
          <w:tcPr>
            <w:tcW w:w="2303" w:type="dxa"/>
            <w:vAlign w:val="center"/>
          </w:tcPr>
          <w:p w:rsidR="000B115C" w:rsidRPr="00B71331" w:rsidRDefault="000B115C" w:rsidP="000B436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</w:pPr>
            <w:r w:rsidRPr="00B7133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LR (mm)</w:t>
            </w:r>
          </w:p>
        </w:tc>
        <w:tc>
          <w:tcPr>
            <w:tcW w:w="2303" w:type="dxa"/>
            <w:vAlign w:val="center"/>
          </w:tcPr>
          <w:p w:rsidR="000B115C" w:rsidRPr="00B71331" w:rsidRDefault="000B115C" w:rsidP="000B436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</w:pPr>
            <w:r w:rsidRPr="00B7133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SI (mm)</w:t>
            </w:r>
          </w:p>
        </w:tc>
        <w:tc>
          <w:tcPr>
            <w:tcW w:w="2303" w:type="dxa"/>
            <w:vAlign w:val="center"/>
          </w:tcPr>
          <w:p w:rsidR="000B115C" w:rsidRPr="00B71331" w:rsidRDefault="000B115C" w:rsidP="000B436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</w:pPr>
            <w:r w:rsidRPr="00B71331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AP (mm)</w:t>
            </w:r>
          </w:p>
        </w:tc>
      </w:tr>
      <w:tr w:rsidR="000B115C" w:rsidRPr="00B71331" w:rsidTr="000B4364">
        <w:trPr>
          <w:trHeight w:val="567"/>
        </w:trPr>
        <w:tc>
          <w:tcPr>
            <w:tcW w:w="2303" w:type="dxa"/>
            <w:vAlign w:val="center"/>
          </w:tcPr>
          <w:p w:rsidR="000B115C" w:rsidRPr="00B71331" w:rsidRDefault="00163774" w:rsidP="00163774">
            <w:pPr>
              <w:jc w:val="center"/>
            </w:pPr>
            <w:r>
              <w:t>Déplacements moyen (± écart type)</w:t>
            </w:r>
          </w:p>
        </w:tc>
        <w:tc>
          <w:tcPr>
            <w:tcW w:w="2303" w:type="dxa"/>
            <w:vAlign w:val="center"/>
          </w:tcPr>
          <w:p w:rsidR="000B115C" w:rsidRPr="00B71331" w:rsidRDefault="000B115C" w:rsidP="000B4364">
            <w:pPr>
              <w:jc w:val="center"/>
            </w:pPr>
            <w:r w:rsidRPr="00B71331">
              <w:t>0.03 ± 0.78</w:t>
            </w:r>
          </w:p>
        </w:tc>
        <w:tc>
          <w:tcPr>
            <w:tcW w:w="2303" w:type="dxa"/>
            <w:vAlign w:val="center"/>
          </w:tcPr>
          <w:p w:rsidR="000B115C" w:rsidRPr="00B71331" w:rsidRDefault="000B115C" w:rsidP="000B4364">
            <w:pPr>
              <w:jc w:val="center"/>
            </w:pPr>
            <w:r w:rsidRPr="00B71331">
              <w:t>1.11 ± 0.81</w:t>
            </w:r>
          </w:p>
        </w:tc>
        <w:tc>
          <w:tcPr>
            <w:tcW w:w="2303" w:type="dxa"/>
            <w:vAlign w:val="center"/>
          </w:tcPr>
          <w:p w:rsidR="000B115C" w:rsidRPr="00B71331" w:rsidRDefault="000B115C" w:rsidP="000B4364">
            <w:pPr>
              <w:jc w:val="center"/>
            </w:pPr>
            <w:r w:rsidRPr="00B71331">
              <w:t>-1.33 ± 1.16</w:t>
            </w:r>
          </w:p>
        </w:tc>
      </w:tr>
      <w:tr w:rsidR="000B115C" w:rsidRPr="00B71331" w:rsidTr="000B4364">
        <w:trPr>
          <w:trHeight w:val="567"/>
        </w:trPr>
        <w:tc>
          <w:tcPr>
            <w:tcW w:w="2303" w:type="dxa"/>
            <w:vAlign w:val="center"/>
          </w:tcPr>
          <w:p w:rsidR="000B115C" w:rsidRPr="00B71331" w:rsidRDefault="00163774" w:rsidP="000B4364">
            <w:pPr>
              <w:jc w:val="center"/>
            </w:pPr>
            <w:r>
              <w:t>Amplitude</w:t>
            </w:r>
          </w:p>
        </w:tc>
        <w:tc>
          <w:tcPr>
            <w:tcW w:w="2303" w:type="dxa"/>
            <w:vAlign w:val="center"/>
          </w:tcPr>
          <w:p w:rsidR="000B115C" w:rsidRPr="00B71331" w:rsidRDefault="000B115C" w:rsidP="000B4364">
            <w:pPr>
              <w:spacing w:line="100" w:lineRule="atLeast"/>
              <w:jc w:val="center"/>
            </w:pPr>
            <w:r w:rsidRPr="00B71331">
              <w:t>[-1,63 ; 1,94]</w:t>
            </w:r>
          </w:p>
        </w:tc>
        <w:tc>
          <w:tcPr>
            <w:tcW w:w="2303" w:type="dxa"/>
            <w:vAlign w:val="center"/>
          </w:tcPr>
          <w:p w:rsidR="000B115C" w:rsidRPr="00B71331" w:rsidRDefault="000B115C" w:rsidP="000B4364">
            <w:pPr>
              <w:spacing w:line="100" w:lineRule="atLeast"/>
              <w:jc w:val="center"/>
            </w:pPr>
            <w:r w:rsidRPr="00B71331">
              <w:t>[-0,39 ; 2,71]</w:t>
            </w:r>
          </w:p>
        </w:tc>
        <w:tc>
          <w:tcPr>
            <w:tcW w:w="2303" w:type="dxa"/>
            <w:vAlign w:val="center"/>
          </w:tcPr>
          <w:p w:rsidR="000B115C" w:rsidRPr="00B71331" w:rsidRDefault="000B115C" w:rsidP="000B4364">
            <w:pPr>
              <w:spacing w:line="100" w:lineRule="atLeast"/>
              <w:jc w:val="center"/>
            </w:pPr>
            <w:r w:rsidRPr="00B71331">
              <w:t>[-5 ; 0,65]</w:t>
            </w:r>
          </w:p>
        </w:tc>
      </w:tr>
    </w:tbl>
    <w:p w:rsidR="000B115C" w:rsidRPr="00B71331" w:rsidRDefault="000B115C" w:rsidP="000B115C">
      <w:pPr>
        <w:spacing w:after="0"/>
        <w:jc w:val="both"/>
      </w:pPr>
      <w:r w:rsidRPr="00B71331">
        <w:t xml:space="preserve">  </w:t>
      </w:r>
      <w:r w:rsidR="00163774">
        <w:t>Tableau 1 : Les mouvements de prostate enregistrés par le TP-US</w:t>
      </w:r>
    </w:p>
    <w:sectPr w:rsidR="000B115C" w:rsidRPr="00B7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5C"/>
    <w:rsid w:val="000B115C"/>
    <w:rsid w:val="00163774"/>
    <w:rsid w:val="001668A3"/>
    <w:rsid w:val="00234968"/>
    <w:rsid w:val="002907AC"/>
    <w:rsid w:val="003A7CAD"/>
    <w:rsid w:val="00491B44"/>
    <w:rsid w:val="00586FF7"/>
    <w:rsid w:val="006F576B"/>
    <w:rsid w:val="00710A4B"/>
    <w:rsid w:val="007173BA"/>
    <w:rsid w:val="008E617C"/>
    <w:rsid w:val="009762EF"/>
    <w:rsid w:val="009868E3"/>
    <w:rsid w:val="00AC1DA5"/>
    <w:rsid w:val="00B06344"/>
    <w:rsid w:val="00B12341"/>
    <w:rsid w:val="00B13876"/>
    <w:rsid w:val="00B71331"/>
    <w:rsid w:val="00CA19A2"/>
    <w:rsid w:val="00D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EA7F-0E8E-4039-89F5-B3327C47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Léon Bérard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DELCOUDERT Laurent</dc:creator>
  <cp:lastModifiedBy>BISTON Marie Claude</cp:lastModifiedBy>
  <cp:revision>7</cp:revision>
  <dcterms:created xsi:type="dcterms:W3CDTF">2017-04-11T10:42:00Z</dcterms:created>
  <dcterms:modified xsi:type="dcterms:W3CDTF">2017-04-11T15:04:00Z</dcterms:modified>
</cp:coreProperties>
</file>